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5815F1F">
      <w:pPr>
        <w:suppressAutoHyphens/>
        <w:bidi w:val="0"/>
        <w:spacing w:line="600" w:lineRule="exact"/>
        <w:jc w:val="right"/>
        <w:rPr>
          <w:rFonts w:hint="eastAsia" w:ascii="楷体_GB2312" w:hAnsi="楷体_GB2312" w:eastAsia="楷体_GB2312"/>
          <w:sz w:val="32"/>
          <w:szCs w:val="32"/>
        </w:rPr>
      </w:pPr>
    </w:p>
    <w:p w14:paraId="602E98B5">
      <w:pPr>
        <w:pStyle w:val="2"/>
        <w:rPr>
          <w:rFonts w:hint="eastAsia"/>
        </w:rPr>
      </w:pPr>
    </w:p>
    <w:p w14:paraId="6209C6E9">
      <w:pPr>
        <w:suppressAutoHyphens/>
        <w:bidi w:val="0"/>
        <w:spacing w:line="600" w:lineRule="exact"/>
        <w:jc w:val="right"/>
        <w:rPr>
          <w:rFonts w:hint="eastAsia" w:ascii="楷体_GB2312" w:hAnsi="楷体_GB2312" w:eastAsia="楷体_GB2312"/>
          <w:sz w:val="32"/>
          <w:szCs w:val="32"/>
        </w:rPr>
      </w:pPr>
    </w:p>
    <w:p w14:paraId="583DAA12">
      <w:pPr>
        <w:suppressAutoHyphens/>
        <w:bidi w:val="0"/>
        <w:spacing w:line="600" w:lineRule="exact"/>
        <w:jc w:val="right"/>
        <w:rPr>
          <w:rFonts w:hint="eastAsia" w:ascii="楷体" w:hAnsi="楷体" w:eastAsia="楷体" w:cs="楷体"/>
          <w:sz w:val="32"/>
          <w:szCs w:val="32"/>
        </w:rPr>
      </w:pPr>
      <w:r>
        <w:rPr>
          <w:rFonts w:hint="eastAsia" w:ascii="楷体" w:hAnsi="楷体" w:eastAsia="楷体" w:cs="楷体"/>
          <w:sz w:val="32"/>
          <w:szCs w:val="32"/>
        </w:rPr>
        <w:t>晋水议</w:t>
      </w:r>
      <w:r>
        <w:rPr>
          <w:rFonts w:hint="eastAsia" w:ascii="楷体" w:hAnsi="楷体" w:eastAsia="楷体" w:cs="楷体"/>
          <w:sz w:val="32"/>
          <w:szCs w:val="32"/>
          <w:lang w:val="en-US" w:eastAsia="zh-CN"/>
        </w:rPr>
        <w:t>函</w:t>
      </w:r>
      <w:r>
        <w:rPr>
          <w:rFonts w:hint="eastAsia" w:ascii="楷体" w:hAnsi="楷体" w:eastAsia="楷体" w:cs="楷体"/>
          <w:sz w:val="32"/>
          <w:szCs w:val="32"/>
        </w:rPr>
        <w:t>〔202</w:t>
      </w:r>
      <w:r>
        <w:rPr>
          <w:rFonts w:hint="eastAsia" w:ascii="楷体" w:hAnsi="楷体" w:eastAsia="楷体" w:cs="楷体"/>
          <w:sz w:val="32"/>
          <w:szCs w:val="32"/>
          <w:lang w:val="en-US" w:eastAsia="zh-CN"/>
        </w:rPr>
        <w:t>4</w:t>
      </w:r>
      <w:r>
        <w:rPr>
          <w:rFonts w:hint="eastAsia" w:ascii="楷体" w:hAnsi="楷体" w:eastAsia="楷体" w:cs="楷体"/>
          <w:sz w:val="32"/>
          <w:szCs w:val="32"/>
        </w:rPr>
        <w:t>〕</w:t>
      </w:r>
      <w:r>
        <w:rPr>
          <w:rFonts w:hint="eastAsia" w:ascii="楷体" w:hAnsi="楷体" w:eastAsia="楷体" w:cs="楷体"/>
          <w:sz w:val="32"/>
          <w:szCs w:val="32"/>
          <w:lang w:val="en-US" w:eastAsia="zh-CN"/>
        </w:rPr>
        <w:t>8</w:t>
      </w:r>
      <w:r>
        <w:rPr>
          <w:rFonts w:hint="eastAsia" w:ascii="楷体" w:hAnsi="楷体" w:eastAsia="楷体" w:cs="楷体"/>
          <w:sz w:val="32"/>
          <w:szCs w:val="32"/>
        </w:rPr>
        <w:t>号</w:t>
      </w:r>
    </w:p>
    <w:p w14:paraId="2DD8EFDA">
      <w:pPr>
        <w:suppressAutoHyphens/>
        <w:bidi w:val="0"/>
        <w:spacing w:line="600" w:lineRule="exact"/>
        <w:jc w:val="right"/>
        <w:rPr>
          <w:rFonts w:hint="eastAsia" w:ascii="楷体_GB2312" w:hAnsi="楷体_GB2312" w:eastAsia="楷体_GB2312"/>
          <w:sz w:val="32"/>
          <w:szCs w:val="32"/>
        </w:rPr>
      </w:pPr>
    </w:p>
    <w:p w14:paraId="574877AB">
      <w:pPr>
        <w:keepNext w:val="0"/>
        <w:keepLines w:val="0"/>
        <w:pageBreakBefore w:val="0"/>
        <w:widowControl w:val="0"/>
        <w:kinsoku/>
        <w:wordWrap/>
        <w:overflowPunct/>
        <w:topLinePunct w:val="0"/>
        <w:autoSpaceDE/>
        <w:autoSpaceDN/>
        <w:bidi w:val="0"/>
        <w:spacing w:before="0" w:beforeLines="0" w:after="0" w:afterLines="0" w:line="600" w:lineRule="exact"/>
        <w:ind w:left="0" w:leftChars="0" w:right="0" w:rightChars="0"/>
        <w:jc w:val="center"/>
        <w:textAlignment w:val="auto"/>
        <w:rPr>
          <w:rFonts w:hint="eastAsia" w:ascii="方正小标宋简体" w:hAnsi="华文中宋" w:eastAsia="方正小标宋简体"/>
          <w:sz w:val="44"/>
          <w:szCs w:val="44"/>
        </w:rPr>
      </w:pPr>
      <w:bookmarkStart w:id="0" w:name="_GoBack"/>
      <w:r>
        <w:rPr>
          <w:rFonts w:hint="eastAsia" w:ascii="方正小标宋简体" w:hAnsi="华文中宋" w:eastAsia="方正小标宋简体"/>
          <w:sz w:val="44"/>
          <w:szCs w:val="44"/>
        </w:rPr>
        <w:t>关于省十</w:t>
      </w:r>
      <w:r>
        <w:rPr>
          <w:rFonts w:hint="eastAsia" w:ascii="方正小标宋简体" w:hAnsi="华文中宋" w:eastAsia="方正小标宋简体"/>
          <w:sz w:val="44"/>
          <w:szCs w:val="44"/>
          <w:lang w:val="en-US" w:eastAsia="zh-CN"/>
        </w:rPr>
        <w:t>四</w:t>
      </w:r>
      <w:r>
        <w:rPr>
          <w:rFonts w:hint="eastAsia" w:ascii="方正小标宋简体" w:hAnsi="华文中宋" w:eastAsia="方正小标宋简体"/>
          <w:sz w:val="44"/>
          <w:szCs w:val="44"/>
        </w:rPr>
        <w:t>届人大</w:t>
      </w:r>
      <w:r>
        <w:rPr>
          <w:rFonts w:hint="eastAsia" w:ascii="方正小标宋简体" w:hAnsi="华文中宋" w:eastAsia="方正小标宋简体"/>
          <w:sz w:val="44"/>
          <w:szCs w:val="44"/>
          <w:lang w:val="en-US" w:eastAsia="zh-CN"/>
        </w:rPr>
        <w:t>二</w:t>
      </w:r>
      <w:r>
        <w:rPr>
          <w:rFonts w:hint="eastAsia" w:ascii="方正小标宋简体" w:hAnsi="华文中宋" w:eastAsia="方正小标宋简体"/>
          <w:sz w:val="44"/>
          <w:szCs w:val="44"/>
        </w:rPr>
        <w:t>次会议</w:t>
      </w:r>
    </w:p>
    <w:p w14:paraId="791A3387">
      <w:pPr>
        <w:keepNext w:val="0"/>
        <w:keepLines w:val="0"/>
        <w:pageBreakBefore w:val="0"/>
        <w:widowControl w:val="0"/>
        <w:kinsoku/>
        <w:wordWrap/>
        <w:overflowPunct/>
        <w:topLinePunct w:val="0"/>
        <w:autoSpaceDE/>
        <w:autoSpaceDN/>
        <w:bidi w:val="0"/>
        <w:spacing w:before="0" w:beforeLines="0" w:after="0" w:afterLines="0" w:line="600" w:lineRule="exact"/>
        <w:ind w:left="0" w:leftChars="0" w:right="0" w:rightChars="0"/>
        <w:jc w:val="center"/>
        <w:textAlignment w:val="auto"/>
        <w:rPr>
          <w:rFonts w:hint="eastAsia" w:ascii="方正小标宋简体" w:hAnsi="华文中宋" w:eastAsia="方正小标宋简体"/>
          <w:sz w:val="44"/>
          <w:szCs w:val="44"/>
        </w:rPr>
      </w:pPr>
      <w:r>
        <w:rPr>
          <w:rFonts w:hint="eastAsia" w:ascii="方正小标宋简体" w:hAnsi="华文中宋" w:eastAsia="方正小标宋简体"/>
          <w:sz w:val="44"/>
          <w:szCs w:val="44"/>
        </w:rPr>
        <w:t>第1</w:t>
      </w:r>
      <w:r>
        <w:rPr>
          <w:rFonts w:hint="eastAsia" w:ascii="方正小标宋简体" w:hAnsi="华文中宋" w:eastAsia="方正小标宋简体"/>
          <w:sz w:val="44"/>
          <w:szCs w:val="44"/>
          <w:lang w:val="en-US" w:eastAsia="zh-CN"/>
        </w:rPr>
        <w:t>392</w:t>
      </w:r>
      <w:r>
        <w:rPr>
          <w:rFonts w:hint="eastAsia" w:ascii="方正小标宋简体" w:hAnsi="华文中宋" w:eastAsia="方正小标宋简体"/>
          <w:sz w:val="44"/>
          <w:szCs w:val="44"/>
        </w:rPr>
        <w:t>号建议的答复</w:t>
      </w:r>
    </w:p>
    <w:bookmarkEnd w:id="0"/>
    <w:p w14:paraId="614F65C3">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jc w:val="both"/>
        <w:textAlignment w:val="auto"/>
        <w:rPr>
          <w:rFonts w:hint="eastAsia" w:hAnsi="仿宋_GB2312" w:cs="Times New Roman"/>
          <w:color w:val="auto"/>
          <w:sz w:val="32"/>
          <w:szCs w:val="32"/>
          <w:lang w:val="en-US" w:eastAsia="zh-CN"/>
        </w:rPr>
      </w:pPr>
    </w:p>
    <w:p w14:paraId="3D1D5C9C">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jc w:val="both"/>
        <w:textAlignment w:val="auto"/>
        <w:rPr>
          <w:rFonts w:hint="eastAsia" w:hAnsi="仿宋_GB2312" w:cs="Times New Roman"/>
          <w:color w:val="auto"/>
          <w:sz w:val="32"/>
          <w:szCs w:val="32"/>
          <w:lang w:val="en-US" w:eastAsia="zh-CN"/>
        </w:rPr>
      </w:pPr>
      <w:r>
        <w:rPr>
          <w:rFonts w:hint="eastAsia" w:hAnsi="仿宋_GB2312" w:cs="Times New Roman"/>
          <w:color w:val="auto"/>
          <w:sz w:val="32"/>
          <w:szCs w:val="32"/>
          <w:lang w:val="en-US" w:eastAsia="zh-CN"/>
        </w:rPr>
        <w:t>温淑琴代表：</w:t>
      </w:r>
    </w:p>
    <w:p w14:paraId="58B10931">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hAnsi="仿宋_GB2312" w:cs="Times New Roman"/>
          <w:color w:val="auto"/>
          <w:sz w:val="32"/>
          <w:szCs w:val="32"/>
          <w:lang w:val="en-US" w:eastAsia="zh-CN"/>
        </w:rPr>
      </w:pPr>
      <w:r>
        <w:rPr>
          <w:rFonts w:hint="eastAsia" w:hAnsi="仿宋_GB2312" w:cs="Times New Roman"/>
          <w:color w:val="auto"/>
          <w:sz w:val="32"/>
          <w:szCs w:val="32"/>
          <w:lang w:val="en-US" w:eastAsia="zh-CN"/>
        </w:rPr>
        <w:t>您提出的《关于加大城乡供水一体化建设投入力度的建议》收悉，经研究，现答复如下：</w:t>
      </w:r>
    </w:p>
    <w:p w14:paraId="4D8C1C72">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hAnsi="仿宋_GB2312" w:cs="Times New Roman"/>
          <w:color w:val="auto"/>
          <w:sz w:val="32"/>
          <w:szCs w:val="32"/>
          <w:lang w:val="en-US" w:eastAsia="zh-CN"/>
        </w:rPr>
      </w:pPr>
      <w:r>
        <w:rPr>
          <w:rFonts w:hint="eastAsia" w:hAnsi="仿宋_GB2312" w:cs="Times New Roman"/>
          <w:color w:val="auto"/>
          <w:sz w:val="32"/>
          <w:szCs w:val="32"/>
          <w:lang w:val="en-US" w:eastAsia="zh-CN"/>
        </w:rPr>
        <w:t>2023年，水利部明确提出推进城乡供水一体化、集中供水规模化、小型工程规范化、县域管理专业化“3+1”标准化建设和管护模式，您在建议提出的“加大城乡供水一体化”符合当前农村供水高质量发展工作思路。</w:t>
      </w:r>
    </w:p>
    <w:p w14:paraId="5DED93A5">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hAnsi="仿宋_GB2312" w:cs="Times New Roman"/>
          <w:color w:val="auto"/>
          <w:sz w:val="32"/>
          <w:szCs w:val="32"/>
          <w:lang w:val="en-US" w:eastAsia="zh-CN"/>
        </w:rPr>
      </w:pPr>
      <w:r>
        <w:rPr>
          <w:rFonts w:hint="eastAsia" w:hAnsi="仿宋_GB2312" w:cs="Times New Roman"/>
          <w:color w:val="auto"/>
          <w:sz w:val="32"/>
          <w:szCs w:val="32"/>
          <w:lang w:val="en-US" w:eastAsia="zh-CN"/>
        </w:rPr>
        <w:t>“十四五”以来，省水利厅相继印发了《全面推进山西省农村供水保障规模化发展实施意见》《学习运用浙江“千万工程”经验 全面推进农村供水保障提档升级行动方案》，着力推进以城市管网向周边村镇延伸为主的城乡供水一体化工程建设。特别是2022年，省水利厅抢抓政策机遇，积极谋划利用金融资金支持农村供水工程建设管理，按照“成熟一批、推进一批”的原则，确定了第一批城乡供水保障工程项目包，共49个项目，投资规模约170亿元，其中即包括大同市浑源县城乡供水一体化工程，目前，浑源县正在推进项目实施，总投资5.5亿元、已完成投资2亿元。</w:t>
      </w:r>
    </w:p>
    <w:p w14:paraId="3F5BA356">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hAnsi="仿宋_GB2312" w:cs="Times New Roman"/>
          <w:color w:val="auto"/>
          <w:sz w:val="32"/>
          <w:szCs w:val="32"/>
          <w:lang w:val="en-US" w:eastAsia="zh-CN"/>
        </w:rPr>
      </w:pPr>
      <w:r>
        <w:rPr>
          <w:rFonts w:hint="eastAsia" w:hAnsi="仿宋_GB2312" w:cs="Times New Roman"/>
          <w:color w:val="auto"/>
          <w:sz w:val="32"/>
          <w:szCs w:val="32"/>
          <w:lang w:val="en-US" w:eastAsia="zh-CN"/>
        </w:rPr>
        <w:t>目前，省水利厅正在编制农村供水高质量发展规划，规划实施一批城乡供水一体化建设项目，同步配套出台农村供水高质量发展实施意见，明确目标、任务及保障措施等，规划和意见拟报请省政府印发，压实责任到相关厅局和各市县人民政府。实施意见明确坚持政银企联动，按照争取中央资金支持、省级财政适当补助、市县财政主体、鼓励社会资本参与的原则，通过中央、省级水利发展资金、衔接推进乡村振兴补助资金、市县财政投入、专项债券资金、提取土地出让收益、募集社会资本等各类渠道筹集资金，鼓励有条件的地区积极探索采取特许经营模式，持续推进城乡供水一体化工程建设。</w:t>
      </w:r>
    </w:p>
    <w:p w14:paraId="2889DDD0">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hAnsi="仿宋_GB2312" w:cs="Times New Roman"/>
          <w:color w:val="auto"/>
          <w:sz w:val="32"/>
          <w:szCs w:val="32"/>
          <w:lang w:val="en-US" w:eastAsia="zh-CN"/>
        </w:rPr>
      </w:pPr>
      <w:r>
        <w:rPr>
          <w:rFonts w:hint="eastAsia" w:hAnsi="仿宋_GB2312" w:cs="Times New Roman"/>
          <w:color w:val="auto"/>
          <w:sz w:val="32"/>
          <w:szCs w:val="32"/>
          <w:lang w:val="en-US" w:eastAsia="zh-CN"/>
        </w:rPr>
        <w:t>衷心感谢您的建议，希望您继续关注和支持水利工作！</w:t>
      </w:r>
    </w:p>
    <w:p w14:paraId="58D397A7">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hAnsi="仿宋_GB2312" w:cs="Times New Roman"/>
          <w:color w:val="auto"/>
          <w:sz w:val="32"/>
          <w:szCs w:val="32"/>
          <w:lang w:val="en-US" w:eastAsia="zh-CN"/>
        </w:rPr>
      </w:pPr>
    </w:p>
    <w:p w14:paraId="184E505F">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hAnsi="仿宋_GB2312" w:cs="Times New Roman"/>
          <w:color w:val="auto"/>
          <w:sz w:val="32"/>
          <w:szCs w:val="32"/>
          <w:lang w:val="en-US" w:eastAsia="zh-CN"/>
        </w:rPr>
      </w:pPr>
    </w:p>
    <w:p w14:paraId="15373005">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hAnsi="仿宋_GB2312" w:cs="Times New Roman"/>
          <w:color w:val="auto"/>
          <w:sz w:val="32"/>
          <w:szCs w:val="32"/>
          <w:lang w:val="en-US" w:eastAsia="zh-CN"/>
        </w:rPr>
      </w:pPr>
    </w:p>
    <w:p w14:paraId="545B0A3D">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山西省水利厅</w:t>
      </w:r>
    </w:p>
    <w:p w14:paraId="76A399E8">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日</w:t>
      </w:r>
    </w:p>
    <w:sectPr>
      <w:headerReference r:id="rId3" w:type="first"/>
      <w:footerReference r:id="rId4" w:type="default"/>
      <w:pgSz w:w="11906" w:h="16838"/>
      <w:pgMar w:top="1701" w:right="1531" w:bottom="1701" w:left="1531" w:header="737" w:footer="1417"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8"/>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
    <w:altName w:val="宋体"/>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altName w:val="宋体"/>
    <w:panose1 w:val="02010600040101010101"/>
    <w:charset w:val="00"/>
    <w:family w:val="auto"/>
    <w:pitch w:val="default"/>
    <w:sig w:usb0="00000000" w:usb1="00000000" w:usb2="00000000" w:usb3="00000000" w:csb0="0004009F" w:csb1="DFD70000"/>
  </w:font>
  <w:font w:name="方正楷体_GB2312">
    <w:altName w:val="楷体_GB2312"/>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72F96">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6658824">
                          <w:pPr>
                            <w:snapToGrid w:val="0"/>
                            <w:rPr>
                              <w:rFonts w:hint="eastAsia" w:ascii="仿宋_GB2312" w:hAnsi="仿宋_GB2312" w:eastAsia="仿宋_GB2312" w:cs="仿宋_GB2312"/>
                              <w:szCs w:val="28"/>
                            </w:rPr>
                          </w:pP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  \* MERGEFORMAT </w:instrText>
                          </w:r>
                          <w:r>
                            <w:rPr>
                              <w:rFonts w:hint="eastAsia" w:ascii="仿宋_GB2312" w:hAnsi="仿宋_GB2312" w:eastAsia="仿宋_GB2312" w:cs="仿宋_GB2312"/>
                              <w:szCs w:val="28"/>
                            </w:rPr>
                            <w:fldChar w:fldCharType="separate"/>
                          </w:r>
                          <w:r>
                            <w:t>- 1 -</w:t>
                          </w:r>
                          <w:r>
                            <w:rPr>
                              <w:rFonts w:hint="eastAsia" w:ascii="仿宋_GB2312" w:hAnsi="仿宋_GB2312" w:eastAsia="仿宋_GB2312" w:cs="仿宋_GB2312"/>
                              <w:szCs w:val="28"/>
                            </w:rPr>
                            <w:fldChar w:fldCharType="end"/>
                          </w:r>
                        </w:p>
                      </w:txbxContent>
                    </wps:txbx>
                    <wps:bodyPr vert="horz" wrap="none" lIns="0" tIns="0" rIns="0" bIns="0" anchor="t" anchorCtr="0" upright="0">
                      <a:spAutoFit/>
                    </wps:bodyPr>
                  </wps:wsp>
                </a:graphicData>
              </a:graphic>
            </wp:anchor>
          </w:drawing>
        </mc:Choice>
        <mc:Fallback>
          <w:pict>
            <v:rect id="文本框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kC2+vXAQAAswMAAA4AAABkcnMvZTJvRG9jLnhtbK1TzY7TMBC+I/EO&#10;lu80aQ+oipquENUiJAQrLTyA6ziNJf9pxm1SHgDegBMX7jxXn4Oxk3SX5bIHLs7M2P7m+z5PNjeD&#10;NeykALV3NV8uSs6Uk77R7lDzL59vX605wyhcI4x3quZnhfxm+/LFpg+VWvnOm0YBIxCHVR9q3sUY&#10;qqJA2SkrcOGDcrTZerAiUgqHogHRE7o1xaosXxe9hyaAlwqRqrtxk0+I8BxA37Zaqp2XR6tcHFFB&#10;GRFJEnY6IN9mtm2rZPzUtqgiMzUnpTGv1ITifVqL7UZUBxCh03KiIJ5D4YkmK7SjpleonYiCHUH/&#10;A2W1BI++jQvpbTEKyY6QimX5xJv7TgSVtZDVGK6m4/+DlR9Pd8B0Q5PAmROWHvzy4/vl5+/Lr2/L&#10;5E4fsKJD9+EOpgwpTFKHFmz6kgg2ZEfPV0fVEJmk4nK9Wq9LMlvS3pwQTvFwPQDGd8pbloKaAz1Z&#10;dlKcPmAcj85HUjfnb7UxVBeVcX8VCDNVisR45JiiOOyHifjeN2cSS7NPfToPXznr6eVr7mjQOTPv&#10;HRmbhmQOYA72cyCcpIs1j5yN4ds4DtMxgD50ebwSKQxvjpGYZgGJxth7YkdvmS2Y5i4Ny+M8n3r4&#10;17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l1uVLQAAAABQEAAA8AAAAAAAAAAQAgAAAAIgAA&#10;AGRycy9kb3ducmV2LnhtbFBLAQIUABQAAAAIAIdO4kD5Atvr1wEAALMDAAAOAAAAAAAAAAEAIAAA&#10;AB8BAABkcnMvZTJvRG9jLnhtbFBLBQYAAAAABgAGAFkBAABoBQAAAAA=&#10;">
              <v:fill on="f" focussize="0,0"/>
              <v:stroke on="f"/>
              <v:imagedata o:title=""/>
              <o:lock v:ext="edit" aspectratio="f"/>
              <v:textbox inset="0mm,0mm,0mm,0mm" style="mso-fit-shape-to-text:t;">
                <w:txbxContent>
                  <w:p w14:paraId="76658824">
                    <w:pPr>
                      <w:snapToGrid w:val="0"/>
                      <w:rPr>
                        <w:rFonts w:hint="eastAsia" w:ascii="仿宋_GB2312" w:hAnsi="仿宋_GB2312" w:eastAsia="仿宋_GB2312" w:cs="仿宋_GB2312"/>
                        <w:szCs w:val="28"/>
                      </w:rPr>
                    </w:pP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  \* MERGEFORMAT </w:instrText>
                    </w:r>
                    <w:r>
                      <w:rPr>
                        <w:rFonts w:hint="eastAsia" w:ascii="仿宋_GB2312" w:hAnsi="仿宋_GB2312" w:eastAsia="仿宋_GB2312" w:cs="仿宋_GB2312"/>
                        <w:szCs w:val="28"/>
                      </w:rPr>
                      <w:fldChar w:fldCharType="separate"/>
                    </w:r>
                    <w:r>
                      <w:t>- 1 -</w:t>
                    </w:r>
                    <w:r>
                      <w:rPr>
                        <w:rFonts w:hint="eastAsia" w:ascii="仿宋_GB2312" w:hAnsi="仿宋_GB2312" w:eastAsia="仿宋_GB2312" w:cs="仿宋_GB2312"/>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A2894">
    <w:pPr>
      <w:pStyle w:val="6"/>
      <w:keepNext w:val="0"/>
      <w:keepLines w:val="0"/>
      <w:pageBreakBefore w:val="0"/>
      <w:widowControl w:val="0"/>
      <w:pBdr>
        <w:bottom w:val="none" w:color="auto" w:sz="0" w:space="1"/>
      </w:pBdr>
      <w:kinsoku/>
      <w:overflowPunct/>
      <w:topLinePunct w:val="0"/>
      <w:autoSpaceDE/>
      <w:autoSpaceDN/>
      <w:bidi w:val="0"/>
      <w:adjustRightInd/>
      <w:spacing w:line="240" w:lineRule="auto"/>
      <w:textAlignment w:val="auto"/>
      <w:rPr>
        <w:rFonts w:hint="eastAsia" w:ascii="方正楷体_GB2312" w:hAnsi="方正楷体_GB2312" w:eastAsia="方正楷体_GB2312" w:cs="方正楷体_GB2312"/>
        <w:sz w:val="28"/>
        <w:szCs w:val="28"/>
      </w:rPr>
    </w:pPr>
  </w:p>
  <w:p w14:paraId="3FE6F382">
    <w:pPr>
      <w:pStyle w:val="6"/>
      <w:keepNext w:val="0"/>
      <w:keepLines w:val="0"/>
      <w:pageBreakBefore w:val="0"/>
      <w:widowControl w:val="0"/>
      <w:pBdr>
        <w:bottom w:val="none" w:color="auto" w:sz="0" w:space="1"/>
      </w:pBdr>
      <w:kinsoku/>
      <w:overflowPunct/>
      <w:topLinePunct w:val="0"/>
      <w:autoSpaceDE/>
      <w:autoSpaceDN/>
      <w:bidi w:val="0"/>
      <w:adjustRightInd/>
      <w:spacing w:line="240" w:lineRule="auto"/>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xml:space="preserve">                                       </w:t>
    </w:r>
    <w:r>
      <w:rPr>
        <w:rFonts w:hint="eastAsia" w:ascii="方正楷体_GB2312" w:hAnsi="方正楷体_GB2312" w:eastAsia="方正楷体_GB2312" w:cs="方正楷体_GB2312"/>
        <w:sz w:val="28"/>
        <w:szCs w:val="28"/>
        <w:lang w:val="en-US" w:eastAsia="zh-CN"/>
      </w:rPr>
      <w:t xml:space="preserve">        </w:t>
    </w:r>
    <w:r>
      <w:rPr>
        <w:rFonts w:hint="eastAsia" w:ascii="方正楷体_GB2312" w:hAnsi="方正楷体_GB2312" w:eastAsia="方正楷体_GB2312" w:cs="方正楷体_GB2312"/>
        <w:sz w:val="28"/>
        <w:szCs w:val="28"/>
      </w:rPr>
      <w:t>公开（是√</w:t>
    </w:r>
    <w:r>
      <w:rPr>
        <w:rFonts w:hint="eastAsia" w:ascii="方正楷体_GB2312" w:hAnsi="方正楷体_GB2312" w:eastAsia="方正楷体_GB2312" w:cs="方正楷体_GB2312"/>
        <w:sz w:val="28"/>
        <w:szCs w:val="28"/>
        <w:lang w:val="en-US" w:eastAsia="zh-CN"/>
      </w:rPr>
      <w:t xml:space="preserve"> </w:t>
    </w:r>
    <w:r>
      <w:rPr>
        <w:rFonts w:hint="eastAsia" w:ascii="方正楷体_GB2312" w:hAnsi="方正楷体_GB2312" w:eastAsia="方正楷体_GB2312" w:cs="方正楷体_GB2312"/>
        <w:sz w:val="28"/>
        <w:szCs w:val="28"/>
      </w:rPr>
      <w:t>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5OTcxZDViN2ZkODA2ODc2MjIxNDQ3MTkyNDA0MzAifQ=="/>
  </w:docVars>
  <w:rsids>
    <w:rsidRoot w:val="00172A27"/>
    <w:rsid w:val="011B2C87"/>
    <w:rsid w:val="03AE7BD5"/>
    <w:rsid w:val="05850883"/>
    <w:rsid w:val="08AA3851"/>
    <w:rsid w:val="0ECE12B3"/>
    <w:rsid w:val="147046F9"/>
    <w:rsid w:val="16C531D6"/>
    <w:rsid w:val="175C7EF3"/>
    <w:rsid w:val="1C6A137C"/>
    <w:rsid w:val="1D622E8D"/>
    <w:rsid w:val="24C4205E"/>
    <w:rsid w:val="277FAB66"/>
    <w:rsid w:val="27F063E8"/>
    <w:rsid w:val="2A1E7B66"/>
    <w:rsid w:val="2C9F0A56"/>
    <w:rsid w:val="2CBF5A6F"/>
    <w:rsid w:val="2CE91B01"/>
    <w:rsid w:val="2DF77668"/>
    <w:rsid w:val="2DFF3137"/>
    <w:rsid w:val="2F225861"/>
    <w:rsid w:val="31A9131F"/>
    <w:rsid w:val="359A3628"/>
    <w:rsid w:val="36032F7B"/>
    <w:rsid w:val="3A2D43ED"/>
    <w:rsid w:val="3DD23C8F"/>
    <w:rsid w:val="3DF35829"/>
    <w:rsid w:val="3EBB0FFC"/>
    <w:rsid w:val="3FCF3ECE"/>
    <w:rsid w:val="41E51C11"/>
    <w:rsid w:val="434D6E78"/>
    <w:rsid w:val="460506EF"/>
    <w:rsid w:val="47AB2786"/>
    <w:rsid w:val="49D33CE1"/>
    <w:rsid w:val="4DF7551D"/>
    <w:rsid w:val="4E584ACA"/>
    <w:rsid w:val="534B3E88"/>
    <w:rsid w:val="54B83D0B"/>
    <w:rsid w:val="54B96281"/>
    <w:rsid w:val="5C9E5258"/>
    <w:rsid w:val="5DF94AE0"/>
    <w:rsid w:val="5E4612DD"/>
    <w:rsid w:val="63395B4D"/>
    <w:rsid w:val="6AC90639"/>
    <w:rsid w:val="73FE5E0A"/>
    <w:rsid w:val="7463241C"/>
    <w:rsid w:val="775ABCD8"/>
    <w:rsid w:val="77752810"/>
    <w:rsid w:val="77752853"/>
    <w:rsid w:val="77A64F39"/>
    <w:rsid w:val="77FF47B0"/>
    <w:rsid w:val="781D0955"/>
    <w:rsid w:val="7B5E3E7E"/>
    <w:rsid w:val="7D292AA6"/>
    <w:rsid w:val="7F7B4FAD"/>
    <w:rsid w:val="7FC950D3"/>
    <w:rsid w:val="9FBF8C35"/>
    <w:rsid w:val="BB772125"/>
    <w:rsid w:val="D7E6D9C1"/>
    <w:rsid w:val="EE6D4345"/>
    <w:rsid w:val="EFFDC523"/>
    <w:rsid w:val="FF7B2F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楷体_GB2312" w:cs="Times New Roman"/>
      <w:color w:val="000000"/>
      <w:kern w:val="2"/>
      <w:sz w:val="28"/>
      <w:szCs w:val="24"/>
      <w:lang w:val="en-US" w:eastAsia="zh-CN" w:bidi="ar-SA"/>
    </w:rPr>
  </w:style>
  <w:style w:type="character" w:default="1" w:styleId="9">
    <w:name w:val="Default Paragraph Font"/>
    <w:link w:val="10"/>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3"/>
    <w:autoRedefine/>
    <w:qFormat/>
    <w:uiPriority w:val="0"/>
    <w:pPr>
      <w:ind w:firstLine="640" w:firstLineChars="200"/>
    </w:pPr>
    <w:rPr>
      <w:rFonts w:eastAsia="仿宋_GB2312" w:asciiTheme="minorAscii" w:hAnsiTheme="minorAscii"/>
    </w:rPr>
  </w:style>
  <w:style w:type="paragraph" w:styleId="3">
    <w:name w:val="Body Text"/>
    <w:basedOn w:val="1"/>
    <w:next w:val="1"/>
    <w:autoRedefine/>
    <w:qFormat/>
    <w:uiPriority w:val="0"/>
    <w:pPr>
      <w:spacing w:afterLines="0" w:afterAutospacing="0" w:line="600" w:lineRule="exact"/>
    </w:pPr>
    <w:rPr>
      <w:rFonts w:eastAsia="仿宋_GB2312" w:asciiTheme="minorAscii" w:hAnsiTheme="minorAscii"/>
    </w:rPr>
  </w:style>
  <w:style w:type="paragraph" w:styleId="4">
    <w:name w:val="Body Text Indent"/>
    <w:basedOn w:val="1"/>
    <w:autoRedefine/>
    <w:qFormat/>
    <w:uiPriority w:val="0"/>
    <w:pPr>
      <w:ind w:firstLine="574"/>
      <w:jc w:val="left"/>
    </w:pPr>
    <w:rPr>
      <w:rFonts w:ascii="仿宋_GB2312" w:eastAsia="仿宋_GB2312"/>
      <w:sz w:val="30"/>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Title"/>
    <w:basedOn w:val="1"/>
    <w:next w:val="1"/>
    <w:qFormat/>
    <w:uiPriority w:val="0"/>
    <w:pPr>
      <w:spacing w:before="340" w:beforeLines="0" w:after="330" w:afterLines="0" w:line="560" w:lineRule="exact"/>
      <w:jc w:val="center"/>
      <w:outlineLvl w:val="0"/>
    </w:pPr>
    <w:rPr>
      <w:rFonts w:ascii="Cambria" w:hAnsi="Cambria" w:eastAsia="黑体" w:cs="Cambria"/>
      <w:sz w:val="36"/>
      <w:szCs w:val="36"/>
    </w:rPr>
  </w:style>
  <w:style w:type="paragraph" w:customStyle="1" w:styleId="10">
    <w:name w:val="_Style 7"/>
    <w:basedOn w:val="1"/>
    <w:link w:val="9"/>
    <w:autoRedefine/>
    <w:qFormat/>
    <w:uiPriority w:val="0"/>
  </w:style>
  <w:style w:type="character" w:styleId="11">
    <w:name w:val="page number"/>
    <w:basedOn w:val="9"/>
    <w:autoRedefine/>
    <w:qFormat/>
    <w:uiPriority w:val="0"/>
  </w:style>
  <w:style w:type="character" w:styleId="12">
    <w:name w:val="Hyperlink"/>
    <w:basedOn w:val="9"/>
    <w:qFormat/>
    <w:uiPriority w:val="0"/>
    <w:rPr>
      <w:color w:val="0000FF"/>
      <w:u w:val="single"/>
    </w:rPr>
  </w:style>
  <w:style w:type="paragraph" w:customStyle="1" w:styleId="13">
    <w:name w:val="无间隔1"/>
    <w:basedOn w:val="1"/>
    <w:autoRedefine/>
    <w:qFormat/>
    <w:uiPriority w:val="0"/>
    <w:rPr>
      <w:rFonts w:ascii="仿宋" w:hAnsi="仿宋" w:eastAsia="仿宋"/>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804</Words>
  <Characters>863</Characters>
  <Lines>9</Lines>
  <Paragraphs>2</Paragraphs>
  <TotalTime>0</TotalTime>
  <ScaleCrop>false</ScaleCrop>
  <LinksUpToDate>false</LinksUpToDate>
  <CharactersWithSpaces>926</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2019-04-24T22:46:00Z</dcterms:created>
  <dc:creator>admin</dc:creator>
  <cp:lastModifiedBy>郎呀郎呀郎ya</cp:lastModifiedBy>
  <cp:lastPrinted>2023-06-01T10:08:00Z</cp:lastPrinted>
  <dcterms:modified xsi:type="dcterms:W3CDTF">2025-01-23T19:10:12Z</dcterms:modified>
  <dc:title>关于加快屯留协调推进雁同灌区项目</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02F4F807B36B47E1B81B54064D95E180_13</vt:lpwstr>
  </property>
</Properties>
</file>